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6BF61" w14:textId="77777777" w:rsidR="00207492" w:rsidRDefault="0085376C" w:rsidP="00207492">
      <w:pPr>
        <w:jc w:val="both"/>
        <w:rPr>
          <w:rFonts w:ascii="Helvetica" w:hAnsi="Helvetica"/>
        </w:rPr>
      </w:pPr>
      <w:r w:rsidRPr="00575596">
        <w:rPr>
          <w:noProof/>
        </w:rPr>
        <w:drawing>
          <wp:anchor distT="0" distB="0" distL="114300" distR="114300" simplePos="0" relativeHeight="251659264" behindDoc="0" locked="0" layoutInCell="1" allowOverlap="1" wp14:anchorId="0F62535E" wp14:editId="0D000F39">
            <wp:simplePos x="0" y="0"/>
            <wp:positionH relativeFrom="margin">
              <wp:posOffset>2282974</wp:posOffset>
            </wp:positionH>
            <wp:positionV relativeFrom="margin">
              <wp:posOffset>-523875</wp:posOffset>
            </wp:positionV>
            <wp:extent cx="1407160" cy="671830"/>
            <wp:effectExtent l="0" t="0" r="2540" b="1270"/>
            <wp:wrapSquare wrapText="bothSides"/>
            <wp:docPr id="1232993771" name="Immagine 1" descr="Immagine che contiene Elementi grafici, grafica,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93771" name="Immagine 1" descr="Immagine che contiene Elementi grafici, grafica, Carattere, schermata&#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7160" cy="671830"/>
                    </a:xfrm>
                    <a:prstGeom prst="rect">
                      <a:avLst/>
                    </a:prstGeom>
                  </pic:spPr>
                </pic:pic>
              </a:graphicData>
            </a:graphic>
            <wp14:sizeRelH relativeFrom="page">
              <wp14:pctWidth>0</wp14:pctWidth>
            </wp14:sizeRelH>
            <wp14:sizeRelV relativeFrom="page">
              <wp14:pctHeight>0</wp14:pctHeight>
            </wp14:sizeRelV>
          </wp:anchor>
        </w:drawing>
      </w:r>
    </w:p>
    <w:p w14:paraId="031DEEA5" w14:textId="77777777" w:rsidR="0085376C" w:rsidRDefault="0085376C" w:rsidP="00207492">
      <w:pPr>
        <w:jc w:val="both"/>
        <w:rPr>
          <w:rFonts w:ascii="Helvetica" w:hAnsi="Helvetica"/>
        </w:rPr>
      </w:pPr>
    </w:p>
    <w:p w14:paraId="2E58F4CD" w14:textId="5E7B6952" w:rsidR="0085376C" w:rsidRPr="00C463B8" w:rsidRDefault="007E7D36" w:rsidP="0085376C">
      <w:pPr>
        <w:jc w:val="center"/>
        <w:rPr>
          <w:rFonts w:ascii="Helvetica" w:hAnsi="Helvetica" w:cs="Helvetica"/>
          <w:b/>
          <w:bCs/>
          <w:sz w:val="32"/>
          <w:szCs w:val="32"/>
          <w:u w:val="single"/>
        </w:rPr>
      </w:pPr>
      <w:r>
        <w:rPr>
          <w:rFonts w:ascii="Helvetica" w:hAnsi="Helvetica" w:cs="Helvetica"/>
          <w:b/>
          <w:bCs/>
          <w:sz w:val="32"/>
          <w:szCs w:val="32"/>
          <w:u w:val="single"/>
        </w:rPr>
        <w:t>NOTA</w:t>
      </w:r>
      <w:r w:rsidR="0085376C" w:rsidRPr="00C463B8">
        <w:rPr>
          <w:rFonts w:ascii="Helvetica" w:hAnsi="Helvetica" w:cs="Helvetica"/>
          <w:b/>
          <w:bCs/>
          <w:sz w:val="32"/>
          <w:szCs w:val="32"/>
          <w:u w:val="single"/>
        </w:rPr>
        <w:t xml:space="preserve"> STAMPA</w:t>
      </w:r>
    </w:p>
    <w:p w14:paraId="520271C7" w14:textId="3C8E8ED7" w:rsidR="007A064E" w:rsidRPr="006D797D" w:rsidRDefault="006D797D" w:rsidP="006D797D">
      <w:pPr>
        <w:rPr>
          <w:rFonts w:ascii="Times New Roman" w:eastAsia="Times New Roman" w:hAnsi="Times New Roman" w:cs="Times New Roman"/>
          <w:color w:val="000000"/>
          <w:kern w:val="0"/>
          <w:lang w:eastAsia="it-IT"/>
          <w14:ligatures w14:val="none"/>
        </w:rPr>
      </w:pPr>
      <w:r w:rsidRPr="006D797D">
        <w:rPr>
          <w:rFonts w:ascii="Helvetica" w:eastAsia="Times New Roman" w:hAnsi="Helvetica" w:cs="Times New Roman"/>
          <w:b/>
          <w:bCs/>
          <w:color w:val="000000"/>
          <w:kern w:val="0"/>
          <w:lang w:eastAsia="it-IT"/>
          <w14:ligatures w14:val="none"/>
        </w:rPr>
        <w:t>DL Energia ed</w:t>
      </w:r>
      <w:r>
        <w:rPr>
          <w:rFonts w:ascii="Helvetica" w:eastAsia="Times New Roman" w:hAnsi="Helvetica" w:cs="Times New Roman"/>
          <w:b/>
          <w:bCs/>
          <w:color w:val="000000"/>
          <w:kern w:val="0"/>
          <w:lang w:eastAsia="it-IT"/>
          <w14:ligatures w14:val="none"/>
        </w:rPr>
        <w:t xml:space="preserve"> </w:t>
      </w:r>
      <w:r w:rsidR="00BB1AC5" w:rsidRPr="00BB1AC5">
        <w:rPr>
          <w:rFonts w:ascii="Helvetica" w:hAnsi="Helvetica" w:cs="Arial"/>
          <w:b/>
          <w:bCs/>
          <w:color w:val="000000"/>
        </w:rPr>
        <w:t>ETS, Confitarma: primo passo importante, ora risorse al mare per evitare il ritorno alla strada</w:t>
      </w:r>
    </w:p>
    <w:p w14:paraId="3B44DE20" w14:textId="77777777" w:rsidR="00BB1AC5" w:rsidRDefault="00BB1AC5" w:rsidP="000D3644">
      <w:pPr>
        <w:jc w:val="both"/>
        <w:rPr>
          <w:rFonts w:ascii="Helvetica" w:hAnsi="Helvetica" w:cs="Arial"/>
          <w:i/>
          <w:iCs/>
          <w:color w:val="000000"/>
          <w:sz w:val="20"/>
          <w:szCs w:val="20"/>
        </w:rPr>
      </w:pPr>
    </w:p>
    <w:p w14:paraId="6A7502EF" w14:textId="77777777" w:rsidR="00BB1AC5" w:rsidRDefault="00BB1AC5" w:rsidP="00BB1AC5">
      <w:pPr>
        <w:jc w:val="both"/>
        <w:rPr>
          <w:rFonts w:ascii="Helvetica" w:hAnsi="Helvetica" w:cs="Arial"/>
          <w:i/>
          <w:iCs/>
          <w:color w:val="000000"/>
          <w:sz w:val="20"/>
          <w:szCs w:val="20"/>
        </w:rPr>
      </w:pPr>
    </w:p>
    <w:p w14:paraId="6F24399B" w14:textId="650ACD5B" w:rsidR="00BB1AC5" w:rsidRPr="00BB1AC5" w:rsidRDefault="000D3644" w:rsidP="00BB1AC5">
      <w:pPr>
        <w:jc w:val="both"/>
        <w:rPr>
          <w:rFonts w:ascii="Helvetica" w:hAnsi="Helvetica" w:cs="Arial"/>
          <w:color w:val="000000"/>
          <w:sz w:val="22"/>
          <w:szCs w:val="22"/>
        </w:rPr>
      </w:pPr>
      <w:r w:rsidRPr="000D3644">
        <w:rPr>
          <w:rFonts w:ascii="Helvetica" w:hAnsi="Helvetica" w:cs="Arial"/>
          <w:i/>
          <w:iCs/>
          <w:color w:val="000000"/>
          <w:sz w:val="20"/>
          <w:szCs w:val="20"/>
        </w:rPr>
        <w:t xml:space="preserve">Roma, </w:t>
      </w:r>
      <w:r w:rsidR="00BB1AC5">
        <w:rPr>
          <w:rFonts w:ascii="Helvetica" w:hAnsi="Helvetica" w:cs="Arial"/>
          <w:i/>
          <w:iCs/>
          <w:color w:val="000000"/>
          <w:sz w:val="20"/>
          <w:szCs w:val="20"/>
        </w:rPr>
        <w:t>30</w:t>
      </w:r>
      <w:r w:rsidRPr="000D3644">
        <w:rPr>
          <w:rFonts w:ascii="Helvetica" w:hAnsi="Helvetica" w:cs="Arial"/>
          <w:i/>
          <w:iCs/>
          <w:color w:val="000000"/>
          <w:sz w:val="20"/>
          <w:szCs w:val="20"/>
        </w:rPr>
        <w:t xml:space="preserve"> </w:t>
      </w:r>
      <w:r w:rsidR="00BB1AC5">
        <w:rPr>
          <w:rFonts w:ascii="Helvetica" w:hAnsi="Helvetica" w:cs="Arial"/>
          <w:i/>
          <w:iCs/>
          <w:color w:val="000000"/>
          <w:sz w:val="20"/>
          <w:szCs w:val="20"/>
        </w:rPr>
        <w:t>marzo</w:t>
      </w:r>
      <w:r w:rsidRPr="000D3644">
        <w:rPr>
          <w:rFonts w:ascii="Helvetica" w:hAnsi="Helvetica" w:cs="Arial"/>
          <w:i/>
          <w:iCs/>
          <w:color w:val="000000"/>
          <w:sz w:val="20"/>
          <w:szCs w:val="20"/>
        </w:rPr>
        <w:t xml:space="preserve"> 202</w:t>
      </w:r>
      <w:r w:rsidR="00274805">
        <w:rPr>
          <w:rFonts w:ascii="Helvetica" w:hAnsi="Helvetica" w:cs="Arial"/>
          <w:i/>
          <w:iCs/>
          <w:color w:val="000000"/>
          <w:sz w:val="20"/>
          <w:szCs w:val="20"/>
        </w:rPr>
        <w:t>6</w:t>
      </w:r>
      <w:r w:rsidRPr="000D3644">
        <w:rPr>
          <w:rFonts w:ascii="Helvetica" w:hAnsi="Helvetica" w:cs="Arial"/>
          <w:color w:val="000000"/>
        </w:rPr>
        <w:t xml:space="preserve"> –</w:t>
      </w:r>
      <w:r w:rsidR="007E7D36">
        <w:rPr>
          <w:rFonts w:ascii="Helvetica" w:hAnsi="Helvetica" w:cs="Arial"/>
          <w:color w:val="000000"/>
          <w:sz w:val="22"/>
          <w:szCs w:val="22"/>
        </w:rPr>
        <w:t xml:space="preserve"> </w:t>
      </w:r>
      <w:r w:rsidR="00BB1AC5" w:rsidRPr="00BB1AC5">
        <w:rPr>
          <w:rFonts w:ascii="Helvetica" w:hAnsi="Helvetica" w:cs="Arial"/>
          <w:color w:val="000000"/>
          <w:sz w:val="22"/>
          <w:szCs w:val="22"/>
        </w:rPr>
        <w:t>Confitarma esprime apprezzamento per l’approvazione alla Camera dell’emendamento 4.100 al DL Energia, che modifica l’articolo 23 del decreto legislativo 9 giugno 2020, n. 47, in materia di “messa all’asta delle quote”.</w:t>
      </w:r>
    </w:p>
    <w:p w14:paraId="5BC2DF66" w14:textId="77777777" w:rsidR="00BB1AC5" w:rsidRPr="00BB1AC5" w:rsidRDefault="00BB1AC5" w:rsidP="00BB1AC5">
      <w:pPr>
        <w:jc w:val="both"/>
        <w:rPr>
          <w:rFonts w:ascii="Helvetica" w:hAnsi="Helvetica" w:cs="Arial"/>
          <w:color w:val="000000"/>
          <w:sz w:val="22"/>
          <w:szCs w:val="22"/>
        </w:rPr>
      </w:pPr>
    </w:p>
    <w:p w14:paraId="5E014211" w14:textId="77777777" w:rsidR="00BB1AC5" w:rsidRPr="00BB1AC5" w:rsidRDefault="00BB1AC5" w:rsidP="00BB1AC5">
      <w:pPr>
        <w:jc w:val="both"/>
        <w:rPr>
          <w:rFonts w:ascii="Helvetica" w:hAnsi="Helvetica" w:cs="Arial"/>
          <w:color w:val="000000"/>
          <w:sz w:val="22"/>
          <w:szCs w:val="22"/>
        </w:rPr>
      </w:pPr>
      <w:r w:rsidRPr="00BB1AC5">
        <w:rPr>
          <w:rFonts w:ascii="Helvetica" w:hAnsi="Helvetica" w:cs="Arial"/>
          <w:color w:val="000000"/>
          <w:sz w:val="22"/>
          <w:szCs w:val="22"/>
        </w:rPr>
        <w:t xml:space="preserve">L’intervento consente al Governo di destinare una quota dei proventi ETS al Sea </w:t>
      </w:r>
      <w:proofErr w:type="spellStart"/>
      <w:r w:rsidRPr="00BB1AC5">
        <w:rPr>
          <w:rFonts w:ascii="Helvetica" w:hAnsi="Helvetica" w:cs="Arial"/>
          <w:color w:val="000000"/>
          <w:sz w:val="22"/>
          <w:szCs w:val="22"/>
        </w:rPr>
        <w:t>Modal</w:t>
      </w:r>
      <w:proofErr w:type="spellEnd"/>
      <w:r w:rsidRPr="00BB1AC5">
        <w:rPr>
          <w:rFonts w:ascii="Helvetica" w:hAnsi="Helvetica" w:cs="Arial"/>
          <w:color w:val="000000"/>
          <w:sz w:val="22"/>
          <w:szCs w:val="22"/>
        </w:rPr>
        <w:t xml:space="preserve"> Shift, favorendo il riequilibrio modale dal trasporto stradale delle merci a quello marittimo.</w:t>
      </w:r>
    </w:p>
    <w:p w14:paraId="7150633C" w14:textId="77777777" w:rsidR="00BB1AC5" w:rsidRPr="00BB1AC5" w:rsidRDefault="00BB1AC5" w:rsidP="00BB1AC5">
      <w:pPr>
        <w:jc w:val="both"/>
        <w:rPr>
          <w:rFonts w:ascii="Helvetica" w:hAnsi="Helvetica" w:cs="Arial"/>
          <w:color w:val="000000"/>
          <w:sz w:val="22"/>
          <w:szCs w:val="22"/>
        </w:rPr>
      </w:pPr>
    </w:p>
    <w:p w14:paraId="33FBE591" w14:textId="77777777" w:rsidR="00BB1AC5" w:rsidRPr="00BB1AC5" w:rsidRDefault="00BB1AC5" w:rsidP="00BB1AC5">
      <w:pPr>
        <w:jc w:val="both"/>
        <w:rPr>
          <w:rFonts w:ascii="Helvetica" w:hAnsi="Helvetica" w:cs="Arial"/>
          <w:color w:val="000000"/>
          <w:sz w:val="22"/>
          <w:szCs w:val="22"/>
        </w:rPr>
      </w:pPr>
      <w:r w:rsidRPr="00BB1AC5">
        <w:rPr>
          <w:rFonts w:ascii="Helvetica" w:hAnsi="Helvetica" w:cs="Arial"/>
          <w:color w:val="000000"/>
          <w:sz w:val="22"/>
          <w:szCs w:val="22"/>
        </w:rPr>
        <w:t>Si tratta di un passo importante nella direzione, più volte indicata da Confitarma, di reinvestire le risorse generate dal sistema ETS – e sostenute anche dal trasporto marittimo – in misure a supporto della transizione energetica del settore.</w:t>
      </w:r>
    </w:p>
    <w:p w14:paraId="61A2AD63" w14:textId="77777777" w:rsidR="00BB1AC5" w:rsidRPr="00BB1AC5" w:rsidRDefault="00BB1AC5" w:rsidP="00BB1AC5">
      <w:pPr>
        <w:jc w:val="both"/>
        <w:rPr>
          <w:rFonts w:ascii="Helvetica" w:hAnsi="Helvetica" w:cs="Arial"/>
          <w:color w:val="000000"/>
          <w:sz w:val="22"/>
          <w:szCs w:val="22"/>
        </w:rPr>
      </w:pPr>
    </w:p>
    <w:p w14:paraId="38E29445" w14:textId="77777777" w:rsidR="00BB1AC5" w:rsidRPr="00BB1AC5" w:rsidRDefault="00BB1AC5" w:rsidP="00BB1AC5">
      <w:pPr>
        <w:jc w:val="both"/>
        <w:rPr>
          <w:rFonts w:ascii="Helvetica" w:hAnsi="Helvetica" w:cs="Arial"/>
          <w:color w:val="000000"/>
          <w:sz w:val="22"/>
          <w:szCs w:val="22"/>
        </w:rPr>
      </w:pPr>
      <w:r w:rsidRPr="00BB1AC5">
        <w:rPr>
          <w:rFonts w:ascii="Helvetica" w:hAnsi="Helvetica" w:cs="Arial"/>
          <w:color w:val="000000"/>
          <w:sz w:val="22"/>
          <w:szCs w:val="22"/>
        </w:rPr>
        <w:t>Nel 2024 l’Italia ha incassato oltre 2,6 miliardi di euro dalle aste ETS, risultando il terzo Paese dell’Unione europea per gettito complessivo. Secondo le stime del Centro Studi di Confitarma, nel 2025 il trasporto marittimo contribuirà per oltre 620 milioni di euro, per un totale che supererà i 6 miliardi entro il 2030.</w:t>
      </w:r>
    </w:p>
    <w:p w14:paraId="675EE4B8" w14:textId="77777777" w:rsidR="00BB1AC5" w:rsidRPr="00BB1AC5" w:rsidRDefault="00BB1AC5" w:rsidP="00BB1AC5">
      <w:pPr>
        <w:jc w:val="both"/>
        <w:rPr>
          <w:rFonts w:ascii="Helvetica" w:hAnsi="Helvetica" w:cs="Arial"/>
          <w:color w:val="000000"/>
          <w:sz w:val="22"/>
          <w:szCs w:val="22"/>
        </w:rPr>
      </w:pPr>
    </w:p>
    <w:p w14:paraId="3E7955E3" w14:textId="77777777" w:rsidR="00BB1AC5" w:rsidRPr="00BB1AC5" w:rsidRDefault="00BB1AC5" w:rsidP="00BB1AC5">
      <w:pPr>
        <w:jc w:val="both"/>
        <w:rPr>
          <w:rFonts w:ascii="Helvetica" w:hAnsi="Helvetica" w:cs="Arial"/>
          <w:color w:val="000000"/>
          <w:sz w:val="22"/>
          <w:szCs w:val="22"/>
        </w:rPr>
      </w:pPr>
      <w:r w:rsidRPr="00BB1AC5">
        <w:rPr>
          <w:rFonts w:ascii="Helvetica" w:hAnsi="Helvetica" w:cs="Arial"/>
          <w:color w:val="000000"/>
          <w:sz w:val="22"/>
          <w:szCs w:val="22"/>
        </w:rPr>
        <w:t>In questo contesto, Confitarma richiama l’attenzione delle Istituzioni sull’impatto del sistema ETS sui traffici Ro-Ro e, in particolare, sul trasporto dei TIR via mare. Nel biennio 2024–2025, limitatamente ai collegamenti realmente alternativi alla strada – in ambito continentale e con la Sicilia – si registra un calo superiore al 7% dei mezzi imbarcati, con un conseguente incremento di oltre 82 milioni di chilometri percorsi su strada.</w:t>
      </w:r>
    </w:p>
    <w:p w14:paraId="4FE0C6A5" w14:textId="77777777" w:rsidR="00BB1AC5" w:rsidRPr="00BB1AC5" w:rsidRDefault="00BB1AC5" w:rsidP="00BB1AC5">
      <w:pPr>
        <w:jc w:val="both"/>
        <w:rPr>
          <w:rFonts w:ascii="Helvetica" w:hAnsi="Helvetica" w:cs="Arial"/>
          <w:color w:val="000000"/>
          <w:sz w:val="22"/>
          <w:szCs w:val="22"/>
        </w:rPr>
      </w:pPr>
    </w:p>
    <w:p w14:paraId="7D319855" w14:textId="77777777" w:rsidR="00BB1AC5" w:rsidRPr="00BB1AC5" w:rsidRDefault="00BB1AC5" w:rsidP="00BB1AC5">
      <w:pPr>
        <w:jc w:val="both"/>
        <w:rPr>
          <w:rFonts w:ascii="Helvetica" w:hAnsi="Helvetica" w:cs="Arial"/>
          <w:color w:val="000000"/>
          <w:sz w:val="22"/>
          <w:szCs w:val="22"/>
        </w:rPr>
      </w:pPr>
      <w:r w:rsidRPr="00BB1AC5">
        <w:rPr>
          <w:rFonts w:ascii="Helvetica" w:hAnsi="Helvetica" w:cs="Arial"/>
          <w:color w:val="000000"/>
          <w:sz w:val="22"/>
          <w:szCs w:val="22"/>
        </w:rPr>
        <w:t>Complessivamente, si stima che circa 70.000 TIR abbiano abbandonato le rotte marittime alternative alla strada, con effetti negativi in termini di emissioni, congestione e costi esterni a carico del sistema Paese.</w:t>
      </w:r>
    </w:p>
    <w:p w14:paraId="72ADE066" w14:textId="77777777" w:rsidR="00BB1AC5" w:rsidRPr="00BB1AC5" w:rsidRDefault="00BB1AC5" w:rsidP="00BB1AC5">
      <w:pPr>
        <w:jc w:val="both"/>
        <w:rPr>
          <w:rFonts w:ascii="Helvetica" w:hAnsi="Helvetica" w:cs="Arial"/>
          <w:color w:val="000000"/>
          <w:sz w:val="22"/>
          <w:szCs w:val="22"/>
        </w:rPr>
      </w:pPr>
    </w:p>
    <w:p w14:paraId="451B0CE1" w14:textId="13869C13" w:rsidR="00A31414" w:rsidRPr="003844EA" w:rsidRDefault="00BB1AC5" w:rsidP="00BB1AC5">
      <w:pPr>
        <w:jc w:val="both"/>
        <w:rPr>
          <w:sz w:val="22"/>
          <w:szCs w:val="22"/>
        </w:rPr>
      </w:pPr>
      <w:r w:rsidRPr="00BB1AC5">
        <w:rPr>
          <w:rFonts w:ascii="Helvetica" w:hAnsi="Helvetica" w:cs="Arial"/>
          <w:color w:val="000000"/>
          <w:sz w:val="22"/>
          <w:szCs w:val="22"/>
        </w:rPr>
        <w:t>È ora essenziale che le risorse generate dal sistema ETS - in attesa della sua auspicata sospensione - siano stabilmente reinvestite nel settore marittimo, per evitare distorsioni competitive e sostenere concretamente la transizione ecologica.</w:t>
      </w:r>
    </w:p>
    <w:sectPr w:rsidR="00A31414" w:rsidRPr="003844E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A53CF"/>
    <w:multiLevelType w:val="hybridMultilevel"/>
    <w:tmpl w:val="0D0CD6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10460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92"/>
    <w:rsid w:val="00032987"/>
    <w:rsid w:val="00055A19"/>
    <w:rsid w:val="00062C59"/>
    <w:rsid w:val="000A62F2"/>
    <w:rsid w:val="000D3644"/>
    <w:rsid w:val="00116B03"/>
    <w:rsid w:val="00123964"/>
    <w:rsid w:val="00177A3D"/>
    <w:rsid w:val="001F7E47"/>
    <w:rsid w:val="00207492"/>
    <w:rsid w:val="00207EA4"/>
    <w:rsid w:val="002735D9"/>
    <w:rsid w:val="00274805"/>
    <w:rsid w:val="00275938"/>
    <w:rsid w:val="002D0B00"/>
    <w:rsid w:val="002D0D19"/>
    <w:rsid w:val="00345B37"/>
    <w:rsid w:val="0035092D"/>
    <w:rsid w:val="003757A5"/>
    <w:rsid w:val="00376993"/>
    <w:rsid w:val="00381211"/>
    <w:rsid w:val="003844EA"/>
    <w:rsid w:val="003864C0"/>
    <w:rsid w:val="003A0939"/>
    <w:rsid w:val="003D33D9"/>
    <w:rsid w:val="003D566F"/>
    <w:rsid w:val="00416D7D"/>
    <w:rsid w:val="0042376E"/>
    <w:rsid w:val="00444EF5"/>
    <w:rsid w:val="004C08E4"/>
    <w:rsid w:val="004F7DC9"/>
    <w:rsid w:val="0050570F"/>
    <w:rsid w:val="0056490F"/>
    <w:rsid w:val="00582F07"/>
    <w:rsid w:val="005836E1"/>
    <w:rsid w:val="005C6680"/>
    <w:rsid w:val="005D32CF"/>
    <w:rsid w:val="00650D24"/>
    <w:rsid w:val="006558B6"/>
    <w:rsid w:val="006802DE"/>
    <w:rsid w:val="006D1962"/>
    <w:rsid w:val="006D6FA8"/>
    <w:rsid w:val="006D797D"/>
    <w:rsid w:val="007037B4"/>
    <w:rsid w:val="00722044"/>
    <w:rsid w:val="00724634"/>
    <w:rsid w:val="007648CF"/>
    <w:rsid w:val="00776C74"/>
    <w:rsid w:val="007832A3"/>
    <w:rsid w:val="00793950"/>
    <w:rsid w:val="007A064E"/>
    <w:rsid w:val="007A3795"/>
    <w:rsid w:val="007E7D36"/>
    <w:rsid w:val="007F1A1F"/>
    <w:rsid w:val="008017B2"/>
    <w:rsid w:val="00807DCC"/>
    <w:rsid w:val="008314DD"/>
    <w:rsid w:val="0083223A"/>
    <w:rsid w:val="0084426E"/>
    <w:rsid w:val="0085376C"/>
    <w:rsid w:val="008640E0"/>
    <w:rsid w:val="00870302"/>
    <w:rsid w:val="00873347"/>
    <w:rsid w:val="008B67D8"/>
    <w:rsid w:val="008D34BD"/>
    <w:rsid w:val="009131A6"/>
    <w:rsid w:val="00913A79"/>
    <w:rsid w:val="00951D2B"/>
    <w:rsid w:val="009744EC"/>
    <w:rsid w:val="00980A8F"/>
    <w:rsid w:val="009A0DF4"/>
    <w:rsid w:val="009B6334"/>
    <w:rsid w:val="009C2ABA"/>
    <w:rsid w:val="00A2274B"/>
    <w:rsid w:val="00A22DAE"/>
    <w:rsid w:val="00A31414"/>
    <w:rsid w:val="00A61637"/>
    <w:rsid w:val="00AE178D"/>
    <w:rsid w:val="00AE7075"/>
    <w:rsid w:val="00AF1C3E"/>
    <w:rsid w:val="00AF7A92"/>
    <w:rsid w:val="00B03828"/>
    <w:rsid w:val="00B323E6"/>
    <w:rsid w:val="00B51C18"/>
    <w:rsid w:val="00B80654"/>
    <w:rsid w:val="00B816AE"/>
    <w:rsid w:val="00BA3D61"/>
    <w:rsid w:val="00BB1AC5"/>
    <w:rsid w:val="00BE0B04"/>
    <w:rsid w:val="00BF7515"/>
    <w:rsid w:val="00C022F1"/>
    <w:rsid w:val="00C30A52"/>
    <w:rsid w:val="00C463B8"/>
    <w:rsid w:val="00C90C04"/>
    <w:rsid w:val="00CA7F78"/>
    <w:rsid w:val="00CC184F"/>
    <w:rsid w:val="00D02DAC"/>
    <w:rsid w:val="00D14111"/>
    <w:rsid w:val="00D209B3"/>
    <w:rsid w:val="00D3218B"/>
    <w:rsid w:val="00D37F6B"/>
    <w:rsid w:val="00D76611"/>
    <w:rsid w:val="00DB2A50"/>
    <w:rsid w:val="00DB5142"/>
    <w:rsid w:val="00DD0D0A"/>
    <w:rsid w:val="00DD4CD9"/>
    <w:rsid w:val="00E81D9A"/>
    <w:rsid w:val="00EB1E41"/>
    <w:rsid w:val="00EC6970"/>
    <w:rsid w:val="00EE79AB"/>
    <w:rsid w:val="00EF3A79"/>
    <w:rsid w:val="00F1001E"/>
    <w:rsid w:val="00F101F0"/>
    <w:rsid w:val="00F11C7F"/>
    <w:rsid w:val="00F21263"/>
    <w:rsid w:val="00F226DB"/>
    <w:rsid w:val="00F642BE"/>
    <w:rsid w:val="00F83F1C"/>
    <w:rsid w:val="00FD6F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8173F"/>
  <w15:chartTrackingRefBased/>
  <w15:docId w15:val="{9B2101A5-DD4E-4745-8FBB-BA44ED98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07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07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0749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0749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0749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0749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0749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0749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0749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749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0749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0749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0749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0749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074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074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074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074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0749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74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749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074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749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07492"/>
    <w:rPr>
      <w:i/>
      <w:iCs/>
      <w:color w:val="404040" w:themeColor="text1" w:themeTint="BF"/>
    </w:rPr>
  </w:style>
  <w:style w:type="paragraph" w:styleId="Paragrafoelenco">
    <w:name w:val="List Paragraph"/>
    <w:basedOn w:val="Normale"/>
    <w:uiPriority w:val="34"/>
    <w:qFormat/>
    <w:rsid w:val="00207492"/>
    <w:pPr>
      <w:ind w:left="720"/>
      <w:contextualSpacing/>
    </w:pPr>
  </w:style>
  <w:style w:type="character" w:styleId="Enfasiintensa">
    <w:name w:val="Intense Emphasis"/>
    <w:basedOn w:val="Carpredefinitoparagrafo"/>
    <w:uiPriority w:val="21"/>
    <w:qFormat/>
    <w:rsid w:val="00207492"/>
    <w:rPr>
      <w:i/>
      <w:iCs/>
      <w:color w:val="2F5496" w:themeColor="accent1" w:themeShade="BF"/>
    </w:rPr>
  </w:style>
  <w:style w:type="paragraph" w:styleId="Citazioneintensa">
    <w:name w:val="Intense Quote"/>
    <w:basedOn w:val="Normale"/>
    <w:next w:val="Normale"/>
    <w:link w:val="CitazioneintensaCarattere"/>
    <w:uiPriority w:val="30"/>
    <w:qFormat/>
    <w:rsid w:val="00207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07492"/>
    <w:rPr>
      <w:i/>
      <w:iCs/>
      <w:color w:val="2F5496" w:themeColor="accent1" w:themeShade="BF"/>
    </w:rPr>
  </w:style>
  <w:style w:type="character" w:styleId="Riferimentointenso">
    <w:name w:val="Intense Reference"/>
    <w:basedOn w:val="Carpredefinitoparagrafo"/>
    <w:uiPriority w:val="32"/>
    <w:qFormat/>
    <w:rsid w:val="00207492"/>
    <w:rPr>
      <w:b/>
      <w:bCs/>
      <w:smallCaps/>
      <w:color w:val="2F5496" w:themeColor="accent1" w:themeShade="BF"/>
      <w:spacing w:val="5"/>
    </w:rPr>
  </w:style>
  <w:style w:type="character" w:customStyle="1" w:styleId="apple-converted-space">
    <w:name w:val="apple-converted-space"/>
    <w:basedOn w:val="Carpredefinitoparagrafo"/>
    <w:rsid w:val="00207492"/>
  </w:style>
  <w:style w:type="paragraph" w:styleId="Revisione">
    <w:name w:val="Revision"/>
    <w:hidden/>
    <w:uiPriority w:val="99"/>
    <w:semiHidden/>
    <w:rsid w:val="00F642BE"/>
  </w:style>
  <w:style w:type="paragraph" w:styleId="NormaleWeb">
    <w:name w:val="Normal (Web)"/>
    <w:basedOn w:val="Normale"/>
    <w:uiPriority w:val="99"/>
    <w:semiHidden/>
    <w:unhideWhenUsed/>
    <w:rsid w:val="00C022F1"/>
    <w:rPr>
      <w:rFonts w:ascii="Times New Roman" w:hAnsi="Times New Roman" w:cs="Times New Roman"/>
    </w:rPr>
  </w:style>
  <w:style w:type="character" w:styleId="Collegamentoipertestuale">
    <w:name w:val="Hyperlink"/>
    <w:basedOn w:val="Carpredefinitoparagrafo"/>
    <w:uiPriority w:val="99"/>
    <w:unhideWhenUsed/>
    <w:rsid w:val="00A31414"/>
    <w:rPr>
      <w:color w:val="0563C1" w:themeColor="hyperlink"/>
      <w:u w:val="single"/>
    </w:rPr>
  </w:style>
  <w:style w:type="character" w:styleId="Menzionenonrisolta">
    <w:name w:val="Unresolved Mention"/>
    <w:basedOn w:val="Carpredefinitoparagrafo"/>
    <w:uiPriority w:val="99"/>
    <w:semiHidden/>
    <w:unhideWhenUsed/>
    <w:rsid w:val="00A31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458">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3">
          <w:marLeft w:val="0"/>
          <w:marRight w:val="0"/>
          <w:marTop w:val="0"/>
          <w:marBottom w:val="0"/>
          <w:divBdr>
            <w:top w:val="none" w:sz="0" w:space="0" w:color="auto"/>
            <w:left w:val="none" w:sz="0" w:space="0" w:color="auto"/>
            <w:bottom w:val="none" w:sz="0" w:space="0" w:color="auto"/>
            <w:right w:val="none" w:sz="0" w:space="0" w:color="auto"/>
          </w:divBdr>
          <w:divsChild>
            <w:div w:id="257955990">
              <w:marLeft w:val="0"/>
              <w:marRight w:val="0"/>
              <w:marTop w:val="0"/>
              <w:marBottom w:val="0"/>
              <w:divBdr>
                <w:top w:val="none" w:sz="0" w:space="0" w:color="auto"/>
                <w:left w:val="none" w:sz="0" w:space="0" w:color="auto"/>
                <w:bottom w:val="none" w:sz="0" w:space="0" w:color="auto"/>
                <w:right w:val="none" w:sz="0" w:space="0" w:color="auto"/>
              </w:divBdr>
              <w:divsChild>
                <w:div w:id="163739009">
                  <w:marLeft w:val="0"/>
                  <w:marRight w:val="0"/>
                  <w:marTop w:val="0"/>
                  <w:marBottom w:val="0"/>
                  <w:divBdr>
                    <w:top w:val="none" w:sz="0" w:space="0" w:color="auto"/>
                    <w:left w:val="none" w:sz="0" w:space="0" w:color="auto"/>
                    <w:bottom w:val="none" w:sz="0" w:space="0" w:color="auto"/>
                    <w:right w:val="none" w:sz="0" w:space="0" w:color="auto"/>
                  </w:divBdr>
                  <w:divsChild>
                    <w:div w:id="11012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916332">
      <w:bodyDiv w:val="1"/>
      <w:marLeft w:val="0"/>
      <w:marRight w:val="0"/>
      <w:marTop w:val="0"/>
      <w:marBottom w:val="0"/>
      <w:divBdr>
        <w:top w:val="none" w:sz="0" w:space="0" w:color="auto"/>
        <w:left w:val="none" w:sz="0" w:space="0" w:color="auto"/>
        <w:bottom w:val="none" w:sz="0" w:space="0" w:color="auto"/>
        <w:right w:val="none" w:sz="0" w:space="0" w:color="auto"/>
      </w:divBdr>
    </w:div>
    <w:div w:id="286201668">
      <w:bodyDiv w:val="1"/>
      <w:marLeft w:val="0"/>
      <w:marRight w:val="0"/>
      <w:marTop w:val="0"/>
      <w:marBottom w:val="0"/>
      <w:divBdr>
        <w:top w:val="none" w:sz="0" w:space="0" w:color="auto"/>
        <w:left w:val="none" w:sz="0" w:space="0" w:color="auto"/>
        <w:bottom w:val="none" w:sz="0" w:space="0" w:color="auto"/>
        <w:right w:val="none" w:sz="0" w:space="0" w:color="auto"/>
      </w:divBdr>
    </w:div>
    <w:div w:id="519197466">
      <w:bodyDiv w:val="1"/>
      <w:marLeft w:val="0"/>
      <w:marRight w:val="0"/>
      <w:marTop w:val="0"/>
      <w:marBottom w:val="0"/>
      <w:divBdr>
        <w:top w:val="none" w:sz="0" w:space="0" w:color="auto"/>
        <w:left w:val="none" w:sz="0" w:space="0" w:color="auto"/>
        <w:bottom w:val="none" w:sz="0" w:space="0" w:color="auto"/>
        <w:right w:val="none" w:sz="0" w:space="0" w:color="auto"/>
      </w:divBdr>
    </w:div>
    <w:div w:id="555623394">
      <w:bodyDiv w:val="1"/>
      <w:marLeft w:val="0"/>
      <w:marRight w:val="0"/>
      <w:marTop w:val="0"/>
      <w:marBottom w:val="0"/>
      <w:divBdr>
        <w:top w:val="none" w:sz="0" w:space="0" w:color="auto"/>
        <w:left w:val="none" w:sz="0" w:space="0" w:color="auto"/>
        <w:bottom w:val="none" w:sz="0" w:space="0" w:color="auto"/>
        <w:right w:val="none" w:sz="0" w:space="0" w:color="auto"/>
      </w:divBdr>
    </w:div>
    <w:div w:id="637566472">
      <w:bodyDiv w:val="1"/>
      <w:marLeft w:val="0"/>
      <w:marRight w:val="0"/>
      <w:marTop w:val="0"/>
      <w:marBottom w:val="0"/>
      <w:divBdr>
        <w:top w:val="none" w:sz="0" w:space="0" w:color="auto"/>
        <w:left w:val="none" w:sz="0" w:space="0" w:color="auto"/>
        <w:bottom w:val="none" w:sz="0" w:space="0" w:color="auto"/>
        <w:right w:val="none" w:sz="0" w:space="0" w:color="auto"/>
      </w:divBdr>
      <w:divsChild>
        <w:div w:id="1063216313">
          <w:marLeft w:val="0"/>
          <w:marRight w:val="0"/>
          <w:marTop w:val="0"/>
          <w:marBottom w:val="0"/>
          <w:divBdr>
            <w:top w:val="none" w:sz="0" w:space="0" w:color="auto"/>
            <w:left w:val="none" w:sz="0" w:space="0" w:color="auto"/>
            <w:bottom w:val="none" w:sz="0" w:space="0" w:color="auto"/>
            <w:right w:val="none" w:sz="0" w:space="0" w:color="auto"/>
          </w:divBdr>
          <w:divsChild>
            <w:div w:id="183250295">
              <w:marLeft w:val="0"/>
              <w:marRight w:val="0"/>
              <w:marTop w:val="0"/>
              <w:marBottom w:val="0"/>
              <w:divBdr>
                <w:top w:val="none" w:sz="0" w:space="0" w:color="auto"/>
                <w:left w:val="none" w:sz="0" w:space="0" w:color="auto"/>
                <w:bottom w:val="none" w:sz="0" w:space="0" w:color="auto"/>
                <w:right w:val="none" w:sz="0" w:space="0" w:color="auto"/>
              </w:divBdr>
              <w:divsChild>
                <w:div w:id="922104409">
                  <w:marLeft w:val="0"/>
                  <w:marRight w:val="0"/>
                  <w:marTop w:val="0"/>
                  <w:marBottom w:val="0"/>
                  <w:divBdr>
                    <w:top w:val="none" w:sz="0" w:space="0" w:color="auto"/>
                    <w:left w:val="none" w:sz="0" w:space="0" w:color="auto"/>
                    <w:bottom w:val="none" w:sz="0" w:space="0" w:color="auto"/>
                    <w:right w:val="none" w:sz="0" w:space="0" w:color="auto"/>
                  </w:divBdr>
                  <w:divsChild>
                    <w:div w:id="14119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224044">
      <w:bodyDiv w:val="1"/>
      <w:marLeft w:val="0"/>
      <w:marRight w:val="0"/>
      <w:marTop w:val="0"/>
      <w:marBottom w:val="0"/>
      <w:divBdr>
        <w:top w:val="none" w:sz="0" w:space="0" w:color="auto"/>
        <w:left w:val="none" w:sz="0" w:space="0" w:color="auto"/>
        <w:bottom w:val="none" w:sz="0" w:space="0" w:color="auto"/>
        <w:right w:val="none" w:sz="0" w:space="0" w:color="auto"/>
      </w:divBdr>
      <w:divsChild>
        <w:div w:id="124330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91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6B0C2-F635-4D31-A311-16945C34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301</Words>
  <Characters>1722</Characters>
  <Application>Microsoft Office Word</Application>
  <DocSecurity>0</DocSecurity>
  <Lines>14</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Canali Aperti</dc:creator>
  <cp:keywords/>
  <dc:description/>
  <cp:lastModifiedBy>Canali Aperti</cp:lastModifiedBy>
  <cp:revision>64</cp:revision>
  <dcterms:created xsi:type="dcterms:W3CDTF">2025-04-03T08:50:00Z</dcterms:created>
  <dcterms:modified xsi:type="dcterms:W3CDTF">2026-03-30T12:27:00Z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75487-42af-4492-84fe-2b4054e011bd_Enabled">
    <vt:lpwstr>true</vt:lpwstr>
  </property>
  <property fmtid="{D5CDD505-2E9C-101B-9397-08002B2CF9AE}" pid="3" name="MSIP_Label_a6175487-42af-4492-84fe-2b4054e011bd_SetDate">
    <vt:lpwstr>2025-01-22T09:30:21Z</vt:lpwstr>
  </property>
  <property fmtid="{D5CDD505-2E9C-101B-9397-08002B2CF9AE}" pid="4" name="MSIP_Label_a6175487-42af-4492-84fe-2b4054e011bd_Method">
    <vt:lpwstr>Privileged</vt:lpwstr>
  </property>
  <property fmtid="{D5CDD505-2E9C-101B-9397-08002B2CF9AE}" pid="5" name="MSIP_Label_a6175487-42af-4492-84fe-2b4054e011bd_Name">
    <vt:lpwstr>Public</vt:lpwstr>
  </property>
  <property fmtid="{D5CDD505-2E9C-101B-9397-08002B2CF9AE}" pid="6" name="MSIP_Label_a6175487-42af-4492-84fe-2b4054e011bd_SiteId">
    <vt:lpwstr>76e3e3ff-fce0-45ec-a946-bc44d69a9b7e</vt:lpwstr>
  </property>
  <property fmtid="{D5CDD505-2E9C-101B-9397-08002B2CF9AE}" pid="7" name="MSIP_Label_a6175487-42af-4492-84fe-2b4054e011bd_ActionId">
    <vt:lpwstr>6f10a793-6abd-4ff5-b87e-cd0724c77385</vt:lpwstr>
  </property>
  <property fmtid="{D5CDD505-2E9C-101B-9397-08002B2CF9AE}" pid="8" name="MSIP_Label_a6175487-42af-4492-84fe-2b4054e011bd_ContentBits">
    <vt:lpwstr>0</vt:lpwstr>
  </property>
</Properties>
</file>