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36BF61" w14:textId="6472D5A9" w:rsidR="00207492" w:rsidRDefault="00D6193E" w:rsidP="00D6193E">
      <w:pPr>
        <w:jc w:val="center"/>
        <w:rPr>
          <w:rFonts w:ascii="Helvetica" w:hAnsi="Helvetica"/>
        </w:rPr>
      </w:pPr>
      <w:r>
        <w:rPr>
          <w:rFonts w:ascii="Helvetica" w:hAnsi="Helvetica"/>
          <w:noProof/>
        </w:rPr>
        <w:drawing>
          <wp:inline distT="0" distB="0" distL="0" distR="0" wp14:anchorId="247BAADC" wp14:editId="37567411">
            <wp:extent cx="1382575" cy="1021080"/>
            <wp:effectExtent l="0" t="0" r="1905" b="0"/>
            <wp:docPr id="6517740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74003" name="Immagine 65177400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9449" cy="1026157"/>
                    </a:xfrm>
                    <a:prstGeom prst="rect">
                      <a:avLst/>
                    </a:prstGeom>
                  </pic:spPr>
                </pic:pic>
              </a:graphicData>
            </a:graphic>
          </wp:inline>
        </w:drawing>
      </w:r>
    </w:p>
    <w:p w14:paraId="031DEEA5" w14:textId="77777777" w:rsidR="0085376C" w:rsidRPr="00CC4397" w:rsidRDefault="0085376C" w:rsidP="00207492">
      <w:pPr>
        <w:jc w:val="both"/>
        <w:rPr>
          <w:rFonts w:ascii="Helvetica" w:hAnsi="Helvetica"/>
        </w:rPr>
      </w:pPr>
    </w:p>
    <w:p w14:paraId="2E58F4CD" w14:textId="7FA775F3" w:rsidR="0085376C" w:rsidRPr="00CC4397" w:rsidRDefault="00DC7CEB" w:rsidP="0085376C">
      <w:pPr>
        <w:jc w:val="center"/>
        <w:rPr>
          <w:rFonts w:ascii="Helvetica" w:hAnsi="Helvetica" w:cs="Helvetica"/>
          <w:b/>
          <w:bCs/>
          <w:sz w:val="32"/>
          <w:szCs w:val="32"/>
          <w:u w:val="single"/>
        </w:rPr>
      </w:pPr>
      <w:bookmarkStart w:id="0" w:name="OLE_LINK2"/>
      <w:bookmarkStart w:id="1" w:name="OLE_LINK1"/>
      <w:bookmarkStart w:id="2" w:name="OLE_LINK3"/>
      <w:r w:rsidRPr="00CC4397">
        <w:rPr>
          <w:rFonts w:ascii="Helvetica" w:hAnsi="Helvetica" w:cs="Helvetica"/>
          <w:b/>
          <w:bCs/>
          <w:sz w:val="32"/>
          <w:szCs w:val="32"/>
          <w:u w:val="single"/>
        </w:rPr>
        <w:t>COMUNICATO</w:t>
      </w:r>
      <w:r w:rsidR="0085376C" w:rsidRPr="00CC4397">
        <w:rPr>
          <w:rFonts w:ascii="Helvetica" w:hAnsi="Helvetica" w:cs="Helvetica"/>
          <w:b/>
          <w:bCs/>
          <w:sz w:val="32"/>
          <w:szCs w:val="32"/>
          <w:u w:val="single"/>
        </w:rPr>
        <w:t xml:space="preserve"> STAMPA</w:t>
      </w:r>
    </w:p>
    <w:p w14:paraId="520271C7" w14:textId="78DC0F5D" w:rsidR="007A064E" w:rsidRPr="007E0DDC" w:rsidRDefault="007E0DDC" w:rsidP="007E0DDC">
      <w:pPr>
        <w:jc w:val="center"/>
        <w:rPr>
          <w:rFonts w:ascii="Helvetica" w:hAnsi="Helvetica" w:cs="Arial"/>
          <w:color w:val="000000"/>
          <w:sz w:val="20"/>
          <w:szCs w:val="20"/>
        </w:rPr>
      </w:pPr>
      <w:r w:rsidRPr="007E0DDC">
        <w:rPr>
          <w:rFonts w:ascii="Helvetica" w:hAnsi="Helvetica"/>
          <w:b/>
          <w:bCs/>
          <w:sz w:val="28"/>
          <w:szCs w:val="28"/>
        </w:rPr>
        <w:t>Porti, Confitarma: dai chiarimenti del MASE un passo decisivo verso regole certe e uniformi sulla gestione del ritiro rifiuti delle navi</w:t>
      </w:r>
    </w:p>
    <w:p w14:paraId="6AE3B6CC" w14:textId="77777777" w:rsidR="0010706F" w:rsidRPr="00CC4397" w:rsidRDefault="0010706F" w:rsidP="000D3644">
      <w:pPr>
        <w:jc w:val="both"/>
        <w:rPr>
          <w:rFonts w:ascii="Helvetica" w:hAnsi="Helvetica" w:cs="Arial"/>
          <w:i/>
          <w:iCs/>
          <w:color w:val="000000"/>
          <w:sz w:val="20"/>
          <w:szCs w:val="20"/>
        </w:rPr>
      </w:pPr>
    </w:p>
    <w:p w14:paraId="2410BDE9" w14:textId="77777777" w:rsidR="002E75CA" w:rsidRDefault="002E75CA" w:rsidP="007E0DDC">
      <w:pPr>
        <w:jc w:val="both"/>
        <w:rPr>
          <w:rFonts w:ascii="Helvetica" w:hAnsi="Helvetica" w:cs="Arial"/>
          <w:i/>
          <w:iCs/>
          <w:color w:val="000000"/>
          <w:sz w:val="20"/>
          <w:szCs w:val="20"/>
        </w:rPr>
      </w:pPr>
    </w:p>
    <w:p w14:paraId="332ABB7A" w14:textId="0CA0CFB1" w:rsidR="007E0DDC" w:rsidRPr="007E0DDC" w:rsidRDefault="007E0DDC" w:rsidP="007E0DDC">
      <w:pPr>
        <w:jc w:val="both"/>
        <w:rPr>
          <w:rFonts w:ascii="Helvetica" w:hAnsi="Helvetica" w:cs="Arial"/>
          <w:color w:val="000000"/>
        </w:rPr>
      </w:pPr>
      <w:r>
        <w:rPr>
          <w:rFonts w:ascii="Helvetica" w:hAnsi="Helvetica" w:cs="Arial"/>
          <w:i/>
          <w:iCs/>
          <w:color w:val="000000"/>
          <w:sz w:val="20"/>
          <w:szCs w:val="20"/>
        </w:rPr>
        <w:t>Roma</w:t>
      </w:r>
      <w:r w:rsidR="000D3644" w:rsidRPr="00CC4397">
        <w:rPr>
          <w:rFonts w:ascii="Helvetica" w:hAnsi="Helvetica" w:cs="Arial"/>
          <w:i/>
          <w:iCs/>
          <w:color w:val="000000"/>
          <w:sz w:val="20"/>
          <w:szCs w:val="20"/>
        </w:rPr>
        <w:t xml:space="preserve">, </w:t>
      </w:r>
      <w:r>
        <w:rPr>
          <w:rFonts w:ascii="Helvetica" w:hAnsi="Helvetica" w:cs="Arial"/>
          <w:i/>
          <w:iCs/>
          <w:color w:val="000000"/>
          <w:sz w:val="20"/>
          <w:szCs w:val="20"/>
        </w:rPr>
        <w:t>19</w:t>
      </w:r>
      <w:r w:rsidR="000D3644" w:rsidRPr="00CC4397">
        <w:rPr>
          <w:rFonts w:ascii="Helvetica" w:hAnsi="Helvetica" w:cs="Arial"/>
          <w:i/>
          <w:iCs/>
          <w:color w:val="000000"/>
          <w:sz w:val="20"/>
          <w:szCs w:val="20"/>
        </w:rPr>
        <w:t xml:space="preserve"> </w:t>
      </w:r>
      <w:r w:rsidR="00D6193E" w:rsidRPr="00CC4397">
        <w:rPr>
          <w:rFonts w:ascii="Helvetica" w:hAnsi="Helvetica" w:cs="Arial"/>
          <w:i/>
          <w:iCs/>
          <w:color w:val="000000"/>
          <w:sz w:val="20"/>
          <w:szCs w:val="20"/>
        </w:rPr>
        <w:t>giugno</w:t>
      </w:r>
      <w:r w:rsidR="000D3644" w:rsidRPr="00CC4397">
        <w:rPr>
          <w:rFonts w:ascii="Helvetica" w:hAnsi="Helvetica" w:cs="Arial"/>
          <w:i/>
          <w:iCs/>
          <w:color w:val="000000"/>
          <w:sz w:val="20"/>
          <w:szCs w:val="20"/>
        </w:rPr>
        <w:t xml:space="preserve"> 202</w:t>
      </w:r>
      <w:r w:rsidR="00274805" w:rsidRPr="00CC4397">
        <w:rPr>
          <w:rFonts w:ascii="Helvetica" w:hAnsi="Helvetica" w:cs="Arial"/>
          <w:i/>
          <w:iCs/>
          <w:color w:val="000000"/>
          <w:sz w:val="20"/>
          <w:szCs w:val="20"/>
        </w:rPr>
        <w:t>6</w:t>
      </w:r>
      <w:r w:rsidR="000D3644" w:rsidRPr="00CC4397">
        <w:rPr>
          <w:rFonts w:ascii="Helvetica" w:hAnsi="Helvetica" w:cs="Arial"/>
          <w:color w:val="000000"/>
        </w:rPr>
        <w:t xml:space="preserve"> –</w:t>
      </w:r>
      <w:bookmarkEnd w:id="0"/>
      <w:bookmarkEnd w:id="1"/>
      <w:r w:rsidR="00DC7925" w:rsidRPr="00CC4397">
        <w:rPr>
          <w:rFonts w:ascii="Helvetica" w:hAnsi="Helvetica" w:cs="Arial"/>
          <w:color w:val="000000"/>
        </w:rPr>
        <w:t xml:space="preserve"> </w:t>
      </w:r>
      <w:bookmarkEnd w:id="2"/>
      <w:r w:rsidRPr="007E0DDC">
        <w:rPr>
          <w:rFonts w:ascii="Helvetica" w:hAnsi="Helvetica" w:cs="Arial"/>
          <w:color w:val="000000"/>
        </w:rPr>
        <w:t>Confitarma esprime apprezzamento per i chiarimenti forniti dal Reparto Ambientale Marino e dalla Direzione Generale Economia Circolare e Bonifiche del Ministero dell’Ambiente e della Sicurezza Energetica in merito all’applicazione della Direttiva (UE)</w:t>
      </w:r>
      <w:r w:rsidR="003048E3">
        <w:rPr>
          <w:rFonts w:ascii="Helvetica" w:hAnsi="Helvetica" w:cs="Arial"/>
          <w:color w:val="000000"/>
        </w:rPr>
        <w:t xml:space="preserve"> </w:t>
      </w:r>
      <w:r w:rsidRPr="007E0DDC">
        <w:rPr>
          <w:rFonts w:ascii="Helvetica" w:hAnsi="Helvetica" w:cs="Arial"/>
          <w:color w:val="000000"/>
        </w:rPr>
        <w:t>2019/883 e della relativa normativa nazionale di attuazione (d.lgs.197/2021) riguardante gli impianti portuali di raccolta per il conferimento dei rifiuti prodotti dalle navi.</w:t>
      </w:r>
    </w:p>
    <w:p w14:paraId="0966FD62" w14:textId="77777777" w:rsidR="007E0DDC" w:rsidRPr="007E0DDC" w:rsidRDefault="007E0DDC" w:rsidP="007E0DDC">
      <w:pPr>
        <w:jc w:val="both"/>
        <w:rPr>
          <w:rFonts w:ascii="Helvetica" w:hAnsi="Helvetica" w:cs="Arial"/>
          <w:color w:val="000000"/>
        </w:rPr>
      </w:pPr>
      <w:r w:rsidRPr="007E0DDC">
        <w:rPr>
          <w:rFonts w:ascii="Helvetica" w:hAnsi="Helvetica" w:cs="Arial"/>
          <w:color w:val="000000"/>
        </w:rPr>
        <w:t> </w:t>
      </w:r>
    </w:p>
    <w:p w14:paraId="4F1345B5" w14:textId="77777777" w:rsidR="007E0DDC" w:rsidRPr="007E0DDC" w:rsidRDefault="007E0DDC" w:rsidP="007E0DDC">
      <w:pPr>
        <w:jc w:val="both"/>
        <w:rPr>
          <w:rFonts w:ascii="Helvetica" w:hAnsi="Helvetica" w:cs="Arial"/>
          <w:color w:val="000000"/>
        </w:rPr>
      </w:pPr>
      <w:r w:rsidRPr="007E0DDC">
        <w:rPr>
          <w:rFonts w:ascii="Helvetica" w:hAnsi="Helvetica" w:cs="Arial"/>
          <w:color w:val="000000"/>
        </w:rPr>
        <w:t>I chiarimenti ministeriali, forniti con specifica circolare pubblicata ieri anche in risposta ad alcuni quesiti formulati dalla nostra Associazione, offrono alle Autorità di Sistema Portuale e alle Capitanerie di Porto indicazioni puntuali sulla corretta interpretazione della normativa, costituendo un intervento particolarmente significativo che va nella direzione di garantire certezza del quadro regolatorio e di superare le difformità applicative che si sono registrate negli anni tra i diversi scali nazionali, profili che hanno peraltro costituito oggetto di specifica attenzione anche da parte della Commissione europea.</w:t>
      </w:r>
    </w:p>
    <w:p w14:paraId="316617EE" w14:textId="77777777" w:rsidR="007E0DDC" w:rsidRPr="007E0DDC" w:rsidRDefault="007E0DDC" w:rsidP="007E0DDC">
      <w:pPr>
        <w:jc w:val="both"/>
        <w:rPr>
          <w:rFonts w:ascii="Helvetica" w:hAnsi="Helvetica" w:cs="Arial"/>
          <w:color w:val="000000"/>
        </w:rPr>
      </w:pPr>
      <w:r w:rsidRPr="007E0DDC">
        <w:rPr>
          <w:rFonts w:ascii="Helvetica" w:hAnsi="Helvetica" w:cs="Arial"/>
          <w:color w:val="000000"/>
        </w:rPr>
        <w:t> </w:t>
      </w:r>
    </w:p>
    <w:p w14:paraId="34B0E3DF" w14:textId="77777777" w:rsidR="007E0DDC" w:rsidRPr="007E0DDC" w:rsidRDefault="007E0DDC" w:rsidP="007E0DDC">
      <w:pPr>
        <w:jc w:val="both"/>
        <w:rPr>
          <w:rFonts w:ascii="Helvetica" w:hAnsi="Helvetica" w:cs="Arial"/>
          <w:color w:val="000000"/>
        </w:rPr>
      </w:pPr>
      <w:r w:rsidRPr="007E0DDC">
        <w:rPr>
          <w:rFonts w:ascii="Helvetica" w:hAnsi="Helvetica" w:cs="Arial"/>
          <w:color w:val="000000"/>
        </w:rPr>
        <w:t>Confitarma auspica che tali indicazioni possano assicurare un’applicazione omogenea della normativa su tutto il territorio nazionale e confida che le competenti Autorità procedano tempestivamente all’adeguamento dei propri provvedimenti amministrativi. Ciò consentirà di sanare alcune situazioni in cui gli utenti del servizio risultano ingiustamente penalizzati, garantendo al contempo maggiore efficienza, trasparenza e sostenibilità del sistema.</w:t>
      </w:r>
    </w:p>
    <w:p w14:paraId="0122B6C3" w14:textId="77777777" w:rsidR="007E0DDC" w:rsidRPr="007E0DDC" w:rsidRDefault="007E0DDC" w:rsidP="007E0DDC">
      <w:pPr>
        <w:jc w:val="both"/>
        <w:rPr>
          <w:rFonts w:ascii="Helvetica" w:hAnsi="Helvetica" w:cs="Arial"/>
          <w:color w:val="000000"/>
        </w:rPr>
      </w:pPr>
      <w:r w:rsidRPr="007E0DDC">
        <w:rPr>
          <w:rFonts w:ascii="Helvetica" w:hAnsi="Helvetica" w:cs="Arial"/>
          <w:color w:val="000000"/>
        </w:rPr>
        <w:t> </w:t>
      </w:r>
    </w:p>
    <w:p w14:paraId="2BC9F4AA" w14:textId="77777777" w:rsidR="007E0DDC" w:rsidRPr="007E0DDC" w:rsidRDefault="007E0DDC" w:rsidP="007E0DDC">
      <w:pPr>
        <w:jc w:val="both"/>
        <w:rPr>
          <w:rFonts w:ascii="Helvetica" w:hAnsi="Helvetica" w:cs="Arial"/>
          <w:color w:val="000000"/>
        </w:rPr>
      </w:pPr>
      <w:r w:rsidRPr="007E0DDC">
        <w:rPr>
          <w:rFonts w:ascii="Helvetica" w:hAnsi="Helvetica" w:cs="Arial"/>
          <w:color w:val="000000"/>
        </w:rPr>
        <w:t>Regole chiare, certe e uguali per tutti rappresentano, infatti, un elemento fondamentale per la competitività del sistema portuale italiano, oltre che una condizione essenziale per coniugare efficacia ambientale, sostenibilità economica del servizio e qualità delle prestazioni rese agli utenti.</w:t>
      </w:r>
    </w:p>
    <w:p w14:paraId="5DF8099C" w14:textId="7DBBDC78" w:rsidR="00183498" w:rsidRPr="00002AEF" w:rsidRDefault="00183498" w:rsidP="007E0DDC">
      <w:pPr>
        <w:jc w:val="both"/>
        <w:rPr>
          <w:rFonts w:ascii="Helvetica" w:hAnsi="Helvetica"/>
          <w:sz w:val="22"/>
          <w:szCs w:val="22"/>
        </w:rPr>
      </w:pPr>
    </w:p>
    <w:sectPr w:rsidR="00183498" w:rsidRPr="00002AEF" w:rsidSect="00194DD2">
      <w:pgSz w:w="11906" w:h="16838"/>
      <w:pgMar w:top="4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4A53CF"/>
    <w:multiLevelType w:val="hybridMultilevel"/>
    <w:tmpl w:val="0D0CD6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104606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2"/>
    <w:rsid w:val="00002AEF"/>
    <w:rsid w:val="000210DE"/>
    <w:rsid w:val="00032987"/>
    <w:rsid w:val="000452C7"/>
    <w:rsid w:val="00055A19"/>
    <w:rsid w:val="00062C59"/>
    <w:rsid w:val="00083B60"/>
    <w:rsid w:val="000A62F2"/>
    <w:rsid w:val="000D3644"/>
    <w:rsid w:val="0010706F"/>
    <w:rsid w:val="001160C6"/>
    <w:rsid w:val="00116B03"/>
    <w:rsid w:val="00123964"/>
    <w:rsid w:val="001473F6"/>
    <w:rsid w:val="00177A3D"/>
    <w:rsid w:val="00183498"/>
    <w:rsid w:val="00194DD2"/>
    <w:rsid w:val="001B166D"/>
    <w:rsid w:val="001B7E00"/>
    <w:rsid w:val="001C54CA"/>
    <w:rsid w:val="001F7E47"/>
    <w:rsid w:val="00207492"/>
    <w:rsid w:val="00207EA4"/>
    <w:rsid w:val="002231AD"/>
    <w:rsid w:val="002521EF"/>
    <w:rsid w:val="002735D9"/>
    <w:rsid w:val="00274805"/>
    <w:rsid w:val="00275938"/>
    <w:rsid w:val="00287173"/>
    <w:rsid w:val="002D0B00"/>
    <w:rsid w:val="002D0D19"/>
    <w:rsid w:val="002D143A"/>
    <w:rsid w:val="002E75CA"/>
    <w:rsid w:val="003048E3"/>
    <w:rsid w:val="00345B37"/>
    <w:rsid w:val="0035092D"/>
    <w:rsid w:val="003757A5"/>
    <w:rsid w:val="00376993"/>
    <w:rsid w:val="00381211"/>
    <w:rsid w:val="003844EA"/>
    <w:rsid w:val="003864C0"/>
    <w:rsid w:val="0039256D"/>
    <w:rsid w:val="003A0939"/>
    <w:rsid w:val="003A0AC7"/>
    <w:rsid w:val="003D33D9"/>
    <w:rsid w:val="003D566F"/>
    <w:rsid w:val="003D6EAD"/>
    <w:rsid w:val="00401AD0"/>
    <w:rsid w:val="00416D7D"/>
    <w:rsid w:val="0042376E"/>
    <w:rsid w:val="004341D6"/>
    <w:rsid w:val="00444EF5"/>
    <w:rsid w:val="00453651"/>
    <w:rsid w:val="004A4A74"/>
    <w:rsid w:val="004B449C"/>
    <w:rsid w:val="004C08E4"/>
    <w:rsid w:val="004F7DC9"/>
    <w:rsid w:val="0050281A"/>
    <w:rsid w:val="0050570F"/>
    <w:rsid w:val="00511C51"/>
    <w:rsid w:val="0056490F"/>
    <w:rsid w:val="00577F8D"/>
    <w:rsid w:val="005806AC"/>
    <w:rsid w:val="00582F07"/>
    <w:rsid w:val="005836E1"/>
    <w:rsid w:val="00585157"/>
    <w:rsid w:val="00590627"/>
    <w:rsid w:val="005C6680"/>
    <w:rsid w:val="005D32CF"/>
    <w:rsid w:val="005E3B54"/>
    <w:rsid w:val="0063424F"/>
    <w:rsid w:val="00650D24"/>
    <w:rsid w:val="006558B6"/>
    <w:rsid w:val="006610AA"/>
    <w:rsid w:val="006802DE"/>
    <w:rsid w:val="006A57F6"/>
    <w:rsid w:val="006B706D"/>
    <w:rsid w:val="006D1962"/>
    <w:rsid w:val="006D6FA8"/>
    <w:rsid w:val="006E1980"/>
    <w:rsid w:val="006E3609"/>
    <w:rsid w:val="007037B4"/>
    <w:rsid w:val="00722044"/>
    <w:rsid w:val="00724634"/>
    <w:rsid w:val="007425A6"/>
    <w:rsid w:val="007648CF"/>
    <w:rsid w:val="0076585C"/>
    <w:rsid w:val="00776C74"/>
    <w:rsid w:val="007832A3"/>
    <w:rsid w:val="00793950"/>
    <w:rsid w:val="007A064E"/>
    <w:rsid w:val="007A1A3B"/>
    <w:rsid w:val="007A3795"/>
    <w:rsid w:val="007A6EB8"/>
    <w:rsid w:val="007B0EE1"/>
    <w:rsid w:val="007B6404"/>
    <w:rsid w:val="007C459B"/>
    <w:rsid w:val="007E0DDC"/>
    <w:rsid w:val="007E7D36"/>
    <w:rsid w:val="007F1A1F"/>
    <w:rsid w:val="008017B2"/>
    <w:rsid w:val="00807DCC"/>
    <w:rsid w:val="00830B17"/>
    <w:rsid w:val="008314DD"/>
    <w:rsid w:val="0083223A"/>
    <w:rsid w:val="0084426E"/>
    <w:rsid w:val="0085376C"/>
    <w:rsid w:val="008640E0"/>
    <w:rsid w:val="00870302"/>
    <w:rsid w:val="00873177"/>
    <w:rsid w:val="00873347"/>
    <w:rsid w:val="00895864"/>
    <w:rsid w:val="00896F81"/>
    <w:rsid w:val="008B3CF4"/>
    <w:rsid w:val="008B67D8"/>
    <w:rsid w:val="008C4AFC"/>
    <w:rsid w:val="008C78F3"/>
    <w:rsid w:val="008D3306"/>
    <w:rsid w:val="008D34BD"/>
    <w:rsid w:val="009131A6"/>
    <w:rsid w:val="00913A79"/>
    <w:rsid w:val="00951D2B"/>
    <w:rsid w:val="009744EC"/>
    <w:rsid w:val="00980A8F"/>
    <w:rsid w:val="009815C5"/>
    <w:rsid w:val="009A110D"/>
    <w:rsid w:val="009B4CC5"/>
    <w:rsid w:val="009B6334"/>
    <w:rsid w:val="009C2ABA"/>
    <w:rsid w:val="009C73B9"/>
    <w:rsid w:val="00A2274B"/>
    <w:rsid w:val="00A22DAE"/>
    <w:rsid w:val="00A305FD"/>
    <w:rsid w:val="00A31414"/>
    <w:rsid w:val="00A45D38"/>
    <w:rsid w:val="00A61637"/>
    <w:rsid w:val="00AC6AE3"/>
    <w:rsid w:val="00AD557E"/>
    <w:rsid w:val="00AE178D"/>
    <w:rsid w:val="00AE7075"/>
    <w:rsid w:val="00AF1C3E"/>
    <w:rsid w:val="00AF7A92"/>
    <w:rsid w:val="00B0155B"/>
    <w:rsid w:val="00B03828"/>
    <w:rsid w:val="00B323E6"/>
    <w:rsid w:val="00B4540B"/>
    <w:rsid w:val="00B51C18"/>
    <w:rsid w:val="00B774C4"/>
    <w:rsid w:val="00B80654"/>
    <w:rsid w:val="00B816AE"/>
    <w:rsid w:val="00BA3D61"/>
    <w:rsid w:val="00BB2F36"/>
    <w:rsid w:val="00BC1D21"/>
    <w:rsid w:val="00BC3008"/>
    <w:rsid w:val="00BD3849"/>
    <w:rsid w:val="00BE0B04"/>
    <w:rsid w:val="00BF7515"/>
    <w:rsid w:val="00C022F1"/>
    <w:rsid w:val="00C30A52"/>
    <w:rsid w:val="00C463B8"/>
    <w:rsid w:val="00C53796"/>
    <w:rsid w:val="00C90C04"/>
    <w:rsid w:val="00CA7F78"/>
    <w:rsid w:val="00CC184F"/>
    <w:rsid w:val="00CC4397"/>
    <w:rsid w:val="00CE0068"/>
    <w:rsid w:val="00D02DAC"/>
    <w:rsid w:val="00D14111"/>
    <w:rsid w:val="00D209B3"/>
    <w:rsid w:val="00D3218B"/>
    <w:rsid w:val="00D37F6B"/>
    <w:rsid w:val="00D55C39"/>
    <w:rsid w:val="00D56689"/>
    <w:rsid w:val="00D6193E"/>
    <w:rsid w:val="00D63476"/>
    <w:rsid w:val="00D76611"/>
    <w:rsid w:val="00DB2A50"/>
    <w:rsid w:val="00DB5142"/>
    <w:rsid w:val="00DC7925"/>
    <w:rsid w:val="00DC7CEB"/>
    <w:rsid w:val="00DD0D0A"/>
    <w:rsid w:val="00DD4CD9"/>
    <w:rsid w:val="00DF4390"/>
    <w:rsid w:val="00E068CB"/>
    <w:rsid w:val="00E30E82"/>
    <w:rsid w:val="00E31556"/>
    <w:rsid w:val="00E32D00"/>
    <w:rsid w:val="00E81D9A"/>
    <w:rsid w:val="00EB1E41"/>
    <w:rsid w:val="00EC6970"/>
    <w:rsid w:val="00EE79AB"/>
    <w:rsid w:val="00EF3A79"/>
    <w:rsid w:val="00F1001E"/>
    <w:rsid w:val="00F101F0"/>
    <w:rsid w:val="00F11C7F"/>
    <w:rsid w:val="00F21263"/>
    <w:rsid w:val="00F226DB"/>
    <w:rsid w:val="00F642BE"/>
    <w:rsid w:val="00F83F1C"/>
    <w:rsid w:val="00FD6F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173F"/>
  <w15:chartTrackingRefBased/>
  <w15:docId w15:val="{9B2101A5-DD4E-4745-8FBB-BA44ED98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07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07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0749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0749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0749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0749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0749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0749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0749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0749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0749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0749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0749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0749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074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074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074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074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0749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074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0749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074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0749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07492"/>
    <w:rPr>
      <w:i/>
      <w:iCs/>
      <w:color w:val="404040" w:themeColor="text1" w:themeTint="BF"/>
    </w:rPr>
  </w:style>
  <w:style w:type="paragraph" w:styleId="Paragrafoelenco">
    <w:name w:val="List Paragraph"/>
    <w:basedOn w:val="Normale"/>
    <w:uiPriority w:val="34"/>
    <w:qFormat/>
    <w:rsid w:val="00207492"/>
    <w:pPr>
      <w:ind w:left="720"/>
      <w:contextualSpacing/>
    </w:pPr>
  </w:style>
  <w:style w:type="character" w:styleId="Enfasiintensa">
    <w:name w:val="Intense Emphasis"/>
    <w:basedOn w:val="Carpredefinitoparagrafo"/>
    <w:uiPriority w:val="21"/>
    <w:qFormat/>
    <w:rsid w:val="00207492"/>
    <w:rPr>
      <w:i/>
      <w:iCs/>
      <w:color w:val="2F5496" w:themeColor="accent1" w:themeShade="BF"/>
    </w:rPr>
  </w:style>
  <w:style w:type="paragraph" w:styleId="Citazioneintensa">
    <w:name w:val="Intense Quote"/>
    <w:basedOn w:val="Normale"/>
    <w:next w:val="Normale"/>
    <w:link w:val="CitazioneintensaCarattere"/>
    <w:uiPriority w:val="30"/>
    <w:qFormat/>
    <w:rsid w:val="00207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07492"/>
    <w:rPr>
      <w:i/>
      <w:iCs/>
      <w:color w:val="2F5496" w:themeColor="accent1" w:themeShade="BF"/>
    </w:rPr>
  </w:style>
  <w:style w:type="character" w:styleId="Riferimentointenso">
    <w:name w:val="Intense Reference"/>
    <w:basedOn w:val="Carpredefinitoparagrafo"/>
    <w:uiPriority w:val="32"/>
    <w:qFormat/>
    <w:rsid w:val="00207492"/>
    <w:rPr>
      <w:b/>
      <w:bCs/>
      <w:smallCaps/>
      <w:color w:val="2F5496" w:themeColor="accent1" w:themeShade="BF"/>
      <w:spacing w:val="5"/>
    </w:rPr>
  </w:style>
  <w:style w:type="character" w:customStyle="1" w:styleId="apple-converted-space">
    <w:name w:val="apple-converted-space"/>
    <w:basedOn w:val="Carpredefinitoparagrafo"/>
    <w:rsid w:val="00207492"/>
  </w:style>
  <w:style w:type="paragraph" w:styleId="Revisione">
    <w:name w:val="Revision"/>
    <w:hidden/>
    <w:uiPriority w:val="99"/>
    <w:semiHidden/>
    <w:rsid w:val="00F642BE"/>
  </w:style>
  <w:style w:type="paragraph" w:styleId="NormaleWeb">
    <w:name w:val="Normal (Web)"/>
    <w:basedOn w:val="Normale"/>
    <w:uiPriority w:val="99"/>
    <w:semiHidden/>
    <w:unhideWhenUsed/>
    <w:rsid w:val="00C022F1"/>
    <w:rPr>
      <w:rFonts w:ascii="Times New Roman" w:hAnsi="Times New Roman" w:cs="Times New Roman"/>
    </w:rPr>
  </w:style>
  <w:style w:type="character" w:styleId="Collegamentoipertestuale">
    <w:name w:val="Hyperlink"/>
    <w:basedOn w:val="Carpredefinitoparagrafo"/>
    <w:uiPriority w:val="99"/>
    <w:unhideWhenUsed/>
    <w:rsid w:val="00A31414"/>
    <w:rPr>
      <w:color w:val="0563C1" w:themeColor="hyperlink"/>
      <w:u w:val="single"/>
    </w:rPr>
  </w:style>
  <w:style w:type="character" w:styleId="Menzionenonrisolta">
    <w:name w:val="Unresolved Mention"/>
    <w:basedOn w:val="Carpredefinitoparagrafo"/>
    <w:uiPriority w:val="99"/>
    <w:semiHidden/>
    <w:unhideWhenUsed/>
    <w:rsid w:val="00A31414"/>
    <w:rPr>
      <w:color w:val="605E5C"/>
      <w:shd w:val="clear" w:color="auto" w:fill="E1DFDD"/>
    </w:rPr>
  </w:style>
  <w:style w:type="character" w:styleId="Enfasigrassetto">
    <w:name w:val="Strong"/>
    <w:basedOn w:val="Carpredefinitoparagrafo"/>
    <w:uiPriority w:val="22"/>
    <w:qFormat/>
    <w:rsid w:val="006610AA"/>
    <w:rPr>
      <w:b/>
      <w:bCs/>
    </w:rPr>
  </w:style>
  <w:style w:type="paragraph" w:customStyle="1" w:styleId="isselectedend">
    <w:name w:val="isselectedend"/>
    <w:basedOn w:val="Normale"/>
    <w:rsid w:val="00830B17"/>
    <w:pPr>
      <w:spacing w:before="100" w:beforeAutospacing="1" w:after="100" w:afterAutospacing="1"/>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693458">
      <w:bodyDiv w:val="1"/>
      <w:marLeft w:val="0"/>
      <w:marRight w:val="0"/>
      <w:marTop w:val="0"/>
      <w:marBottom w:val="0"/>
      <w:divBdr>
        <w:top w:val="none" w:sz="0" w:space="0" w:color="auto"/>
        <w:left w:val="none" w:sz="0" w:space="0" w:color="auto"/>
        <w:bottom w:val="none" w:sz="0" w:space="0" w:color="auto"/>
        <w:right w:val="none" w:sz="0" w:space="0" w:color="auto"/>
      </w:divBdr>
      <w:divsChild>
        <w:div w:id="1392727353">
          <w:marLeft w:val="0"/>
          <w:marRight w:val="0"/>
          <w:marTop w:val="0"/>
          <w:marBottom w:val="0"/>
          <w:divBdr>
            <w:top w:val="none" w:sz="0" w:space="0" w:color="auto"/>
            <w:left w:val="none" w:sz="0" w:space="0" w:color="auto"/>
            <w:bottom w:val="none" w:sz="0" w:space="0" w:color="auto"/>
            <w:right w:val="none" w:sz="0" w:space="0" w:color="auto"/>
          </w:divBdr>
          <w:divsChild>
            <w:div w:id="257955990">
              <w:marLeft w:val="0"/>
              <w:marRight w:val="0"/>
              <w:marTop w:val="0"/>
              <w:marBottom w:val="0"/>
              <w:divBdr>
                <w:top w:val="none" w:sz="0" w:space="0" w:color="auto"/>
                <w:left w:val="none" w:sz="0" w:space="0" w:color="auto"/>
                <w:bottom w:val="none" w:sz="0" w:space="0" w:color="auto"/>
                <w:right w:val="none" w:sz="0" w:space="0" w:color="auto"/>
              </w:divBdr>
              <w:divsChild>
                <w:div w:id="163739009">
                  <w:marLeft w:val="0"/>
                  <w:marRight w:val="0"/>
                  <w:marTop w:val="0"/>
                  <w:marBottom w:val="0"/>
                  <w:divBdr>
                    <w:top w:val="none" w:sz="0" w:space="0" w:color="auto"/>
                    <w:left w:val="none" w:sz="0" w:space="0" w:color="auto"/>
                    <w:bottom w:val="none" w:sz="0" w:space="0" w:color="auto"/>
                    <w:right w:val="none" w:sz="0" w:space="0" w:color="auto"/>
                  </w:divBdr>
                  <w:divsChild>
                    <w:div w:id="110129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916332">
      <w:bodyDiv w:val="1"/>
      <w:marLeft w:val="0"/>
      <w:marRight w:val="0"/>
      <w:marTop w:val="0"/>
      <w:marBottom w:val="0"/>
      <w:divBdr>
        <w:top w:val="none" w:sz="0" w:space="0" w:color="auto"/>
        <w:left w:val="none" w:sz="0" w:space="0" w:color="auto"/>
        <w:bottom w:val="none" w:sz="0" w:space="0" w:color="auto"/>
        <w:right w:val="none" w:sz="0" w:space="0" w:color="auto"/>
      </w:divBdr>
    </w:div>
    <w:div w:id="286201668">
      <w:bodyDiv w:val="1"/>
      <w:marLeft w:val="0"/>
      <w:marRight w:val="0"/>
      <w:marTop w:val="0"/>
      <w:marBottom w:val="0"/>
      <w:divBdr>
        <w:top w:val="none" w:sz="0" w:space="0" w:color="auto"/>
        <w:left w:val="none" w:sz="0" w:space="0" w:color="auto"/>
        <w:bottom w:val="none" w:sz="0" w:space="0" w:color="auto"/>
        <w:right w:val="none" w:sz="0" w:space="0" w:color="auto"/>
      </w:divBdr>
    </w:div>
    <w:div w:id="519197466">
      <w:bodyDiv w:val="1"/>
      <w:marLeft w:val="0"/>
      <w:marRight w:val="0"/>
      <w:marTop w:val="0"/>
      <w:marBottom w:val="0"/>
      <w:divBdr>
        <w:top w:val="none" w:sz="0" w:space="0" w:color="auto"/>
        <w:left w:val="none" w:sz="0" w:space="0" w:color="auto"/>
        <w:bottom w:val="none" w:sz="0" w:space="0" w:color="auto"/>
        <w:right w:val="none" w:sz="0" w:space="0" w:color="auto"/>
      </w:divBdr>
    </w:div>
    <w:div w:id="555623394">
      <w:bodyDiv w:val="1"/>
      <w:marLeft w:val="0"/>
      <w:marRight w:val="0"/>
      <w:marTop w:val="0"/>
      <w:marBottom w:val="0"/>
      <w:divBdr>
        <w:top w:val="none" w:sz="0" w:space="0" w:color="auto"/>
        <w:left w:val="none" w:sz="0" w:space="0" w:color="auto"/>
        <w:bottom w:val="none" w:sz="0" w:space="0" w:color="auto"/>
        <w:right w:val="none" w:sz="0" w:space="0" w:color="auto"/>
      </w:divBdr>
    </w:div>
    <w:div w:id="637566472">
      <w:bodyDiv w:val="1"/>
      <w:marLeft w:val="0"/>
      <w:marRight w:val="0"/>
      <w:marTop w:val="0"/>
      <w:marBottom w:val="0"/>
      <w:divBdr>
        <w:top w:val="none" w:sz="0" w:space="0" w:color="auto"/>
        <w:left w:val="none" w:sz="0" w:space="0" w:color="auto"/>
        <w:bottom w:val="none" w:sz="0" w:space="0" w:color="auto"/>
        <w:right w:val="none" w:sz="0" w:space="0" w:color="auto"/>
      </w:divBdr>
      <w:divsChild>
        <w:div w:id="1063216313">
          <w:marLeft w:val="0"/>
          <w:marRight w:val="0"/>
          <w:marTop w:val="0"/>
          <w:marBottom w:val="0"/>
          <w:divBdr>
            <w:top w:val="none" w:sz="0" w:space="0" w:color="auto"/>
            <w:left w:val="none" w:sz="0" w:space="0" w:color="auto"/>
            <w:bottom w:val="none" w:sz="0" w:space="0" w:color="auto"/>
            <w:right w:val="none" w:sz="0" w:space="0" w:color="auto"/>
          </w:divBdr>
          <w:divsChild>
            <w:div w:id="183250295">
              <w:marLeft w:val="0"/>
              <w:marRight w:val="0"/>
              <w:marTop w:val="0"/>
              <w:marBottom w:val="0"/>
              <w:divBdr>
                <w:top w:val="none" w:sz="0" w:space="0" w:color="auto"/>
                <w:left w:val="none" w:sz="0" w:space="0" w:color="auto"/>
                <w:bottom w:val="none" w:sz="0" w:space="0" w:color="auto"/>
                <w:right w:val="none" w:sz="0" w:space="0" w:color="auto"/>
              </w:divBdr>
              <w:divsChild>
                <w:div w:id="922104409">
                  <w:marLeft w:val="0"/>
                  <w:marRight w:val="0"/>
                  <w:marTop w:val="0"/>
                  <w:marBottom w:val="0"/>
                  <w:divBdr>
                    <w:top w:val="none" w:sz="0" w:space="0" w:color="auto"/>
                    <w:left w:val="none" w:sz="0" w:space="0" w:color="auto"/>
                    <w:bottom w:val="none" w:sz="0" w:space="0" w:color="auto"/>
                    <w:right w:val="none" w:sz="0" w:space="0" w:color="auto"/>
                  </w:divBdr>
                  <w:divsChild>
                    <w:div w:id="141199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224044">
      <w:bodyDiv w:val="1"/>
      <w:marLeft w:val="0"/>
      <w:marRight w:val="0"/>
      <w:marTop w:val="0"/>
      <w:marBottom w:val="0"/>
      <w:divBdr>
        <w:top w:val="none" w:sz="0" w:space="0" w:color="auto"/>
        <w:left w:val="none" w:sz="0" w:space="0" w:color="auto"/>
        <w:bottom w:val="none" w:sz="0" w:space="0" w:color="auto"/>
        <w:right w:val="none" w:sz="0" w:space="0" w:color="auto"/>
      </w:divBdr>
      <w:divsChild>
        <w:div w:id="1243300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91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6B0C2-F635-4D31-A311-16945C34F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Pages>
  <Words>297</Words>
  <Characters>1695</Characters>
  <Application>Microsoft Office Word</Application>
  <DocSecurity>0</DocSecurity>
  <Lines>14</Lines>
  <Paragraphs>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Canali Aperti</dc:creator>
  <cp:keywords/>
  <dc:description/>
  <cp:lastModifiedBy>Canali Aperti</cp:lastModifiedBy>
  <cp:revision>137</cp:revision>
  <cp:lastPrinted>2026-01-30T15:17:00Z</cp:lastPrinted>
  <dcterms:created xsi:type="dcterms:W3CDTF">2025-04-03T08:50:00Z</dcterms:created>
  <dcterms:modified xsi:type="dcterms:W3CDTF">2026-06-19T16:01:00Z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2025-01-22T09:30:21Z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6f10a793-6abd-4ff5-b87e-cd0724c77385</vt:lpwstr>
  </property>
  <property fmtid="{D5CDD505-2E9C-101B-9397-08002B2CF9AE}" pid="8" name="MSIP_Label_a6175487-42af-4492-84fe-2b4054e011bd_ContentBits">
    <vt:lpwstr>0</vt:lpwstr>
  </property>
</Properties>
</file>